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108C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8930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984"/>
      </w:tblGrid>
      <w:tr w:rsidR="00707C35" w14:paraId="5AA2AD41" w14:textId="77777777" w:rsidTr="00920009">
        <w:trPr>
          <w:trHeight w:val="1398"/>
        </w:trPr>
        <w:tc>
          <w:tcPr>
            <w:tcW w:w="6946" w:type="dxa"/>
            <w:vAlign w:val="center"/>
          </w:tcPr>
          <w:p w14:paraId="76EE248D" w14:textId="77777777" w:rsidR="00707C35" w:rsidRDefault="00707C35" w:rsidP="00707C35">
            <w:pPr>
              <w:spacing w:line="288" w:lineRule="auto"/>
              <w:ind w:right="2248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Gospodarstwo Rolne – Zdzisław Serafin</w:t>
            </w:r>
          </w:p>
          <w:p w14:paraId="5EAE8FE3" w14:textId="28FD1FC6" w:rsidR="00707C35" w:rsidRDefault="00707C35" w:rsidP="00707C35">
            <w:pPr>
              <w:widowControl w:val="0"/>
              <w:spacing w:line="288" w:lineRule="auto"/>
              <w:ind w:right="22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Hetmanów 4, 63-421 Przygodzice</w:t>
            </w:r>
          </w:p>
        </w:tc>
        <w:tc>
          <w:tcPr>
            <w:tcW w:w="1984" w:type="dxa"/>
          </w:tcPr>
          <w:p w14:paraId="74EA6E0D" w14:textId="77777777" w:rsidR="00707C35" w:rsidRDefault="00707C35" w:rsidP="00707C35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608CE421" w14:textId="77777777" w:rsidR="00707C35" w:rsidRDefault="00707C35" w:rsidP="00707C35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69D2E4DC" w14:textId="1818A620" w:rsidR="00707C35" w:rsidRDefault="00707C35" w:rsidP="00707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P-01/25/GRZS</w:t>
            </w:r>
          </w:p>
        </w:tc>
      </w:tr>
    </w:tbl>
    <w:p w14:paraId="2DDD6E95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  <w:b/>
        </w:rPr>
      </w:pPr>
    </w:p>
    <w:p w14:paraId="22E8070C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  <w:b/>
        </w:rPr>
      </w:pPr>
    </w:p>
    <w:p w14:paraId="3A6324B0" w14:textId="77777777" w:rsidR="00EE691A" w:rsidRDefault="00000000">
      <w:pPr>
        <w:spacing w:line="288" w:lineRule="auto"/>
        <w:ind w:right="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Załącznik nr 4 </w:t>
      </w:r>
      <w:r>
        <w:rPr>
          <w:rFonts w:ascii="Arial" w:eastAsia="Arial" w:hAnsi="Arial" w:cs="Arial"/>
        </w:rPr>
        <w:t>do Ogłoszenia o przetargu</w:t>
      </w:r>
    </w:p>
    <w:p w14:paraId="088338CD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</w:rPr>
      </w:pPr>
    </w:p>
    <w:p w14:paraId="2D26C12D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</w:rPr>
      </w:pPr>
    </w:p>
    <w:p w14:paraId="42CDB7BC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MINIMALNE WYMAGANIA TECHNICZNE </w:t>
      </w:r>
    </w:p>
    <w:p w14:paraId="690E7FB6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ORAZ TECHNICZNO-EKSPLOATACYJNE</w:t>
      </w:r>
    </w:p>
    <w:p w14:paraId="6C464FD7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</w:rPr>
      </w:pPr>
    </w:p>
    <w:p w14:paraId="6071EC6E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</w:rPr>
      </w:pPr>
    </w:p>
    <w:tbl>
      <w:tblPr>
        <w:tblStyle w:val="a7"/>
        <w:tblpPr w:leftFromText="180" w:rightFromText="180" w:topFromText="180" w:bottomFromText="180" w:vertAnchor="text" w:tblpX="8"/>
        <w:tblW w:w="9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5"/>
        <w:gridCol w:w="5655"/>
      </w:tblGrid>
      <w:tr w:rsidR="00EE691A" w14:paraId="0C50BCBE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8256F" w14:textId="77777777" w:rsidR="00EE691A" w:rsidRDefault="00000000">
            <w:pPr>
              <w:spacing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Pełna nazwa Wykonawcy: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0D543" w14:textId="77777777" w:rsidR="00EE691A" w:rsidRDefault="00EE691A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0FD23F30" w14:textId="77777777" w:rsidR="00EE691A" w:rsidRDefault="00EE691A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0FCED1BB" w14:textId="77777777" w:rsidR="00EE691A" w:rsidRDefault="00EE691A">
            <w:pPr>
              <w:spacing w:line="288" w:lineRule="auto"/>
              <w:rPr>
                <w:rFonts w:ascii="Arial" w:eastAsia="Arial" w:hAnsi="Arial" w:cs="Arial"/>
              </w:rPr>
            </w:pPr>
          </w:p>
        </w:tc>
      </w:tr>
      <w:tr w:rsidR="00EE691A" w14:paraId="4D9D5207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57548" w14:textId="77777777" w:rsidR="00EE691A" w:rsidRDefault="00000000">
            <w:pPr>
              <w:spacing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Dane teleadresowe Wykonawcy, </w:t>
            </w:r>
          </w:p>
          <w:p w14:paraId="1F50FDBC" w14:textId="77777777" w:rsidR="00EE691A" w:rsidRDefault="00000000">
            <w:pPr>
              <w:spacing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numer NIP, KRS: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2E014" w14:textId="77777777" w:rsidR="00EE691A" w:rsidRDefault="00EE691A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31FB1D62" w14:textId="77777777" w:rsidR="00EE691A" w:rsidRDefault="00EE691A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09A30256" w14:textId="77777777" w:rsidR="00EE691A" w:rsidRDefault="00EE691A">
            <w:pPr>
              <w:spacing w:line="288" w:lineRule="auto"/>
              <w:rPr>
                <w:rFonts w:ascii="Arial" w:eastAsia="Arial" w:hAnsi="Arial" w:cs="Arial"/>
              </w:rPr>
            </w:pPr>
          </w:p>
        </w:tc>
      </w:tr>
    </w:tbl>
    <w:p w14:paraId="2760C241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</w:rPr>
      </w:pPr>
    </w:p>
    <w:p w14:paraId="46090277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</w:rPr>
      </w:pPr>
    </w:p>
    <w:p w14:paraId="62B07AAD" w14:textId="77777777" w:rsidR="00EE691A" w:rsidRDefault="00000000">
      <w:pPr>
        <w:spacing w:line="288" w:lineRule="auto"/>
        <w:ind w:right="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Wykonawca przyjmuje do wiadomości, że:</w:t>
      </w:r>
    </w:p>
    <w:p w14:paraId="275F2AD2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</w:rPr>
      </w:pPr>
    </w:p>
    <w:p w14:paraId="08FA8A51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Przedmiotowa instalacja do wytwarzania energii elektrycznej i cieplnej z biogazu rolniczego zaprojektowana została jako dwufazowa fermentacja beztlenowa, z systemem ciągłego podawania wsadu do komór fermentacyjnych funkcjonująca przy istniejącym gospodarstwie rolnym.</w:t>
      </w:r>
    </w:p>
    <w:p w14:paraId="0E98F89B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</w:rPr>
      </w:pPr>
    </w:p>
    <w:p w14:paraId="1D86081C" w14:textId="552096D4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Zbiornik fermentacyjny I stopnia fermentacji (fermen</w:t>
      </w:r>
      <w:r w:rsidR="000B6FC7" w:rsidRPr="000B6FC7">
        <w:rPr>
          <w:rFonts w:ascii="Arial" w:eastAsia="Arial" w:hAnsi="Arial" w:cs="Arial"/>
        </w:rPr>
        <w:t>t</w:t>
      </w:r>
      <w:r w:rsidRPr="000B6FC7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r) będzie napełniany w określonych odstępach czasowych. Głównym substratem będzie </w:t>
      </w:r>
      <w:r w:rsidR="00C224B8">
        <w:rPr>
          <w:rFonts w:ascii="Arial" w:eastAsia="Arial" w:hAnsi="Arial" w:cs="Arial"/>
        </w:rPr>
        <w:t xml:space="preserve">substrat pochodzenia zwierzęcego – </w:t>
      </w:r>
      <w:r w:rsidR="00707C35">
        <w:rPr>
          <w:rFonts w:ascii="Arial" w:eastAsia="Arial" w:hAnsi="Arial" w:cs="Arial"/>
        </w:rPr>
        <w:t>obornik kurzy</w:t>
      </w:r>
      <w:r w:rsidR="00C224B8">
        <w:rPr>
          <w:rFonts w:ascii="Arial" w:eastAsia="Arial" w:hAnsi="Arial" w:cs="Arial"/>
        </w:rPr>
        <w:t xml:space="preserve">. Do instalacji jako uzupełnienie substratu będzie podawany obornik bydlęcy oraz kiszonka z kukurydzy. </w:t>
      </w:r>
      <w:r>
        <w:rPr>
          <w:rFonts w:ascii="Arial" w:eastAsia="Arial" w:hAnsi="Arial" w:cs="Arial"/>
        </w:rPr>
        <w:t xml:space="preserve">Proces pobierania i dozowania substratów w odpowiednich ilościach i przedziałach czasowych, będzie zautomatyzowany i realizowany na podstawie założonego harmonogramu. Fermentor będzie odpowiadał za około 80% wytwarzania gazu po czym zostanie przetransportowany rurami technologicznymi do zbiornika fermentacyjnego II stopnia fermentacji (dofermentor), gdzie będzie zachodził ostatni proces rozkładu substratu – uzysk gazu na poziomie 20%. Po całym procesie fermentacji zostanie przetransportowana do zbiornika końcowego tzw. pofermentacyjnego, gdzie będzie składowany poferment. Ciągłość procesu przepompowywania pomiędzy zbiornikami wstępnymi, fermentacyjnymi </w:t>
      </w:r>
      <w:r>
        <w:rPr>
          <w:rFonts w:ascii="Arial" w:eastAsia="Arial" w:hAnsi="Arial" w:cs="Arial"/>
          <w:color w:val="000000"/>
        </w:rPr>
        <w:t xml:space="preserve">oraz </w:t>
      </w:r>
      <w:r>
        <w:rPr>
          <w:rFonts w:ascii="Arial" w:eastAsia="Arial" w:hAnsi="Arial" w:cs="Arial"/>
          <w:color w:val="000000"/>
        </w:rPr>
        <w:lastRenderedPageBreak/>
        <w:t>zbiornikiem końcowym będzie zapewniona dzięki systemowi pomp, sterowanych automatycznie.</w:t>
      </w:r>
    </w:p>
    <w:p w14:paraId="39F1DDAF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</w:p>
    <w:p w14:paraId="0ED24F4E" w14:textId="6D1EA1B5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Proces fermentacji odbywać się będzie w kontrolowanych warunkac</w:t>
      </w:r>
      <w:r>
        <w:rPr>
          <w:rFonts w:ascii="Arial" w:eastAsia="Arial" w:hAnsi="Arial" w:cs="Arial"/>
        </w:rPr>
        <w:t>h (fermentacja mezofilowa), gdzie prowadzony będzie proces rozkładu</w:t>
      </w:r>
      <w:r>
        <w:rPr>
          <w:rFonts w:ascii="Arial" w:eastAsia="Arial" w:hAnsi="Arial" w:cs="Arial"/>
          <w:color w:val="000000"/>
        </w:rPr>
        <w:t xml:space="preserve"> materiału organicznego</w:t>
      </w:r>
      <w:r w:rsidR="000B6FC7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z wytworzeniem biogazu rolniczego, składającego się głównie z metanu i dwutlenku węgla ze śladowymi ilościami innych gazów, takich jak np. resztkowy siarkowodór i tlen. Stała temperatura </w:t>
      </w:r>
      <w:r>
        <w:rPr>
          <w:rFonts w:ascii="Arial" w:eastAsia="Arial" w:hAnsi="Arial" w:cs="Arial"/>
        </w:rPr>
        <w:t>zapewniona</w:t>
      </w:r>
      <w:r>
        <w:rPr>
          <w:rFonts w:ascii="Arial" w:eastAsia="Arial" w:hAnsi="Arial" w:cs="Arial"/>
          <w:color w:val="000000"/>
        </w:rPr>
        <w:t xml:space="preserve"> będzie poprzez ścienne ogrzewanie zbiornika oraz gazoszczeln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color w:val="000000"/>
        </w:rPr>
        <w:t xml:space="preserve"> pokryw</w:t>
      </w:r>
      <w:r>
        <w:rPr>
          <w:rFonts w:ascii="Arial" w:eastAsia="Arial" w:hAnsi="Arial" w:cs="Arial"/>
        </w:rPr>
        <w:t>ę</w:t>
      </w:r>
      <w:r>
        <w:rPr>
          <w:rFonts w:ascii="Arial" w:eastAsia="Arial" w:hAnsi="Arial" w:cs="Arial"/>
          <w:color w:val="000000"/>
        </w:rPr>
        <w:t xml:space="preserve"> górn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color w:val="000000"/>
        </w:rPr>
        <w:t>. Ciepło do ogrzewania komór fermentacyjnych dostarczane będzie rurami grzewcz</w:t>
      </w:r>
      <w:r>
        <w:rPr>
          <w:rFonts w:ascii="Arial" w:eastAsia="Arial" w:hAnsi="Arial" w:cs="Arial"/>
        </w:rPr>
        <w:t>ymi izolowanymi termicznie z </w:t>
      </w:r>
      <w:r w:rsidR="00707C35">
        <w:rPr>
          <w:rFonts w:ascii="Arial" w:eastAsia="Arial" w:hAnsi="Arial" w:cs="Arial"/>
        </w:rPr>
        <w:t>obiektu</w:t>
      </w:r>
      <w:r>
        <w:rPr>
          <w:rFonts w:ascii="Arial" w:eastAsia="Arial" w:hAnsi="Arial" w:cs="Arial"/>
        </w:rPr>
        <w:t xml:space="preserve"> kogeneracyjnego, w którym będzie znajdowała się jednostka kogeneracyjna.</w:t>
      </w:r>
    </w:p>
    <w:p w14:paraId="353916D0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</w:rPr>
      </w:pPr>
    </w:p>
    <w:p w14:paraId="6A2CFB3B" w14:textId="1D10E668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Planowane jest również zapewnienie możliwości wykorzystania innych substratów niż wyżej wymienione, które gromadzone będą w zewnętrznych miejscach składowych, </w:t>
      </w:r>
      <w:r>
        <w:rPr>
          <w:rFonts w:ascii="Arial" w:eastAsia="Arial" w:hAnsi="Arial" w:cs="Arial"/>
          <w:color w:val="000000"/>
        </w:rPr>
        <w:t>skąd podawane będą do podajnika substratów stałych lub zbiornik</w:t>
      </w:r>
      <w:r w:rsidR="00707C35">
        <w:rPr>
          <w:rFonts w:ascii="Arial" w:eastAsia="Arial" w:hAnsi="Arial" w:cs="Arial"/>
          <w:color w:val="000000"/>
        </w:rPr>
        <w:t>ów</w:t>
      </w:r>
      <w:r>
        <w:rPr>
          <w:rFonts w:ascii="Arial" w:eastAsia="Arial" w:hAnsi="Arial" w:cs="Arial"/>
          <w:color w:val="000000"/>
        </w:rPr>
        <w:t xml:space="preserve"> </w:t>
      </w:r>
      <w:r w:rsidR="00707C35">
        <w:rPr>
          <w:rFonts w:ascii="Arial" w:eastAsia="Arial" w:hAnsi="Arial" w:cs="Arial"/>
          <w:color w:val="000000"/>
        </w:rPr>
        <w:t>wstępnych</w:t>
      </w:r>
      <w:r>
        <w:rPr>
          <w:rFonts w:ascii="Arial" w:eastAsia="Arial" w:hAnsi="Arial" w:cs="Arial"/>
          <w:color w:val="000000"/>
        </w:rPr>
        <w:t xml:space="preserve"> i dalej kierowane do zbiornika fermentacyjnego bez obróbki wstępnej.</w:t>
      </w:r>
    </w:p>
    <w:p w14:paraId="5AAF062F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</w:p>
    <w:p w14:paraId="078D2DAB" w14:textId="68AD319D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Wytworzony w wyniku fermentacji biogaz będzie przechowywany po</w:t>
      </w:r>
      <w:r>
        <w:rPr>
          <w:rFonts w:ascii="Arial" w:eastAsia="Arial" w:hAnsi="Arial" w:cs="Arial"/>
        </w:rPr>
        <w:t>d kopułami umieszczonymi na zbiornikach fermentacyjnych I i II stopnia fermentacji (</w:t>
      </w:r>
      <w:r w:rsidR="00C25626">
        <w:rPr>
          <w:rFonts w:ascii="Arial" w:eastAsia="Arial" w:hAnsi="Arial" w:cs="Arial"/>
        </w:rPr>
        <w:t>fermentor</w:t>
      </w:r>
      <w:r w:rsidR="0069641B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i dofermentor)</w:t>
      </w:r>
      <w:r w:rsidR="00707C35">
        <w:rPr>
          <w:rFonts w:ascii="Arial" w:eastAsia="Arial" w:hAnsi="Arial" w:cs="Arial"/>
        </w:rPr>
        <w:t xml:space="preserve"> oraz w zbiorniku końcowym</w:t>
      </w:r>
      <w:r>
        <w:rPr>
          <w:rFonts w:ascii="Arial" w:eastAsia="Arial" w:hAnsi="Arial" w:cs="Arial"/>
        </w:rPr>
        <w:t xml:space="preserve">. Zasobniki biogazu będą ze sobą połączone. Przed wykorzystaniem biogaz będzie poddawany procesowi uzdatniania, w celu zmniejszenia korozyjności medium, a także minimalizacji oddziaływania na jakość powietrza przy spalaniu. Wstępne odsiarczanie biogazu metodą biologiczną prowadzone będzie w zbiorniku fermentacyjnym poprzez kontrolowany dopływ powietrza. W wyniku procesu siarkowodór zostanie biologicznie utleniony przez mikroorganizmy (bakterie </w:t>
      </w:r>
      <w:r>
        <w:rPr>
          <w:rFonts w:ascii="Arial" w:eastAsia="Arial" w:hAnsi="Arial" w:cs="Arial"/>
          <w:i/>
        </w:rPr>
        <w:t>sulfobacter oxydans),</w:t>
      </w:r>
      <w:r>
        <w:rPr>
          <w:rFonts w:ascii="Arial" w:eastAsia="Arial" w:hAnsi="Arial" w:cs="Arial"/>
          <w:i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a produkty w postaci wytrąconej siarki pozostaną w masie pofermentacyjnej. Dodatkowe odsiarczenie biogazu zapewni także zastosowanie drewnianych stropów zbiorników. Biogaz będzie także osuszany poprzez schładzanie. W rurociągu do przesyłu biogazu powstanie kondensat, który po dnie rury ułożonej ze spadkiem spływać będzie do podziemnej studni kondensatu. Dodatkowe osuszanie biogazu prowadzone będzie w stacji uzdatniania biogaz</w:t>
      </w:r>
      <w:r>
        <w:rPr>
          <w:rFonts w:ascii="Arial" w:eastAsia="Arial" w:hAnsi="Arial" w:cs="Arial"/>
        </w:rPr>
        <w:t>u. Następnie biogaz trafi do filtra z węglem aktywnym (drugi stopień odsiarczania) i skierowany zostanie do sprężarki, gdzie kompresowany będzie do ciśnienia roboczego. Tak przygotowane paliwo gazowe kierowane będzie do jednostki kogeneracyjnej, gdzie w procesie spalania będ</w:t>
      </w:r>
      <w:r>
        <w:rPr>
          <w:rFonts w:ascii="Arial" w:eastAsia="Arial" w:hAnsi="Arial" w:cs="Arial"/>
          <w:color w:val="000000"/>
        </w:rPr>
        <w:t>zie wytworzona energia elektryczna oraz cieplna.</w:t>
      </w:r>
    </w:p>
    <w:p w14:paraId="4E1D9E83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 w:firstLine="707"/>
        <w:jc w:val="both"/>
        <w:rPr>
          <w:rFonts w:ascii="Arial" w:eastAsia="Arial" w:hAnsi="Arial" w:cs="Arial"/>
          <w:color w:val="000000"/>
        </w:rPr>
      </w:pPr>
    </w:p>
    <w:p w14:paraId="6156D391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wyniku procesu fermentacji powstanie również pozostałość pofermentacyjna, która będzie gromadzona w zbiorniku końcowym.</w:t>
      </w:r>
    </w:p>
    <w:p w14:paraId="5AFF428F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 w:firstLine="707"/>
        <w:jc w:val="both"/>
        <w:rPr>
          <w:rFonts w:ascii="Arial" w:eastAsia="Arial" w:hAnsi="Arial" w:cs="Arial"/>
          <w:color w:val="000000"/>
        </w:rPr>
      </w:pPr>
    </w:p>
    <w:p w14:paraId="0DA93C79" w14:textId="4802019C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Szczegółowe opisy techniczne zastosowanych rozwiązań znajdują się w projekcie budowlanym </w:t>
      </w:r>
      <w:r>
        <w:rPr>
          <w:rFonts w:ascii="Arial" w:eastAsia="Arial" w:hAnsi="Arial" w:cs="Arial"/>
          <w:i/>
          <w:color w:val="000000"/>
        </w:rPr>
        <w:t>„Budowa biogazowni rolniczej o mocy elektrycznej do 499kW”</w:t>
      </w:r>
      <w:r>
        <w:rPr>
          <w:rFonts w:ascii="Arial" w:eastAsia="Arial" w:hAnsi="Arial" w:cs="Arial"/>
          <w:color w:val="000000"/>
        </w:rPr>
        <w:t>.</w:t>
      </w:r>
    </w:p>
    <w:p w14:paraId="30819D3D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</w:p>
    <w:p w14:paraId="7779F83C" w14:textId="77777777" w:rsidR="00EE691A" w:rsidRDefault="00000000">
      <w:pPr>
        <w:spacing w:line="288" w:lineRule="auto"/>
        <w:ind w:right="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 potrzeby potwierdzenia spełnienia warunków w zakresie wyposażenia technologicznego, Zamawiający zastrzega możliwość żądania od Wykonawców </w:t>
      </w:r>
      <w:r>
        <w:rPr>
          <w:rFonts w:ascii="Arial" w:eastAsia="Arial" w:hAnsi="Arial" w:cs="Arial"/>
          <w:b/>
        </w:rPr>
        <w:lastRenderedPageBreak/>
        <w:t>przedstawienia kart katalogowych zaproponowanych urządzeń.</w:t>
      </w:r>
    </w:p>
    <w:p w14:paraId="1D351627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b/>
          <w:color w:val="000000"/>
        </w:rPr>
      </w:pPr>
    </w:p>
    <w:p w14:paraId="189F8F7E" w14:textId="77777777" w:rsidR="00EE691A" w:rsidRDefault="00000000">
      <w:pPr>
        <w:spacing w:line="288" w:lineRule="auto"/>
        <w:ind w:right="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Nie dopuszcza się ryzykownych rozwiązań technicznych, w szczególności takich, które:</w:t>
      </w:r>
    </w:p>
    <w:p w14:paraId="3C508687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  <w:b/>
        </w:rPr>
      </w:pPr>
    </w:p>
    <w:p w14:paraId="7845B3E5" w14:textId="77777777" w:rsidR="00EE691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line="288" w:lineRule="auto"/>
        <w:ind w:left="567" w:right="4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są przewidziane przez producenta do pracy w instalacjach biogazowni rolniczych;</w:t>
      </w:r>
    </w:p>
    <w:p w14:paraId="251343A4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line="288" w:lineRule="auto"/>
        <w:ind w:left="567" w:right="4"/>
        <w:jc w:val="both"/>
        <w:rPr>
          <w:rFonts w:ascii="Arial" w:eastAsia="Arial" w:hAnsi="Arial" w:cs="Arial"/>
          <w:color w:val="000000"/>
        </w:rPr>
      </w:pPr>
    </w:p>
    <w:p w14:paraId="6F16B02F" w14:textId="77777777" w:rsidR="00EE691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line="288" w:lineRule="auto"/>
        <w:ind w:left="567" w:right="4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zastosowane urządzenia stanowią modyfikacje urządzeń stosowanych w innych kategoriach instalacji niż biogazownie rolnicze i nie mają powszechnego zastosowania w biogazowniach rolniczych.</w:t>
      </w:r>
    </w:p>
    <w:p w14:paraId="5471F176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</w:rPr>
      </w:pPr>
    </w:p>
    <w:p w14:paraId="32491568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</w:rPr>
      </w:pPr>
    </w:p>
    <w:p w14:paraId="38C712F2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000000"/>
        </w:rPr>
        <w:t>Bilans substratowy:</w:t>
      </w:r>
    </w:p>
    <w:p w14:paraId="482E916D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8"/>
        <w:tblW w:w="9064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321"/>
        <w:gridCol w:w="1516"/>
        <w:gridCol w:w="1561"/>
        <w:gridCol w:w="1980"/>
      </w:tblGrid>
      <w:tr w:rsidR="00EE691A" w14:paraId="61AFD03D" w14:textId="77777777" w:rsidTr="00EE6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3D8DCF53" w14:textId="77777777" w:rsidR="00EE691A" w:rsidRDefault="00000000">
            <w:pPr>
              <w:tabs>
                <w:tab w:val="center" w:pos="1302"/>
              </w:tabs>
              <w:spacing w:line="288" w:lineRule="auto"/>
              <w:ind w:right="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Rodzaj:</w:t>
            </w:r>
          </w:p>
        </w:tc>
        <w:tc>
          <w:tcPr>
            <w:tcW w:w="1321" w:type="dxa"/>
          </w:tcPr>
          <w:p w14:paraId="04577CFF" w14:textId="77777777" w:rsidR="00EE691A" w:rsidRDefault="00000000">
            <w:pPr>
              <w:spacing w:line="288" w:lineRule="auto"/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Masa całk.</w:t>
            </w:r>
          </w:p>
          <w:p w14:paraId="2B62EDF2" w14:textId="77777777" w:rsidR="00EE691A" w:rsidRDefault="00000000">
            <w:pPr>
              <w:spacing w:line="288" w:lineRule="auto"/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(Mg / rok)</w:t>
            </w:r>
          </w:p>
        </w:tc>
        <w:tc>
          <w:tcPr>
            <w:tcW w:w="1516" w:type="dxa"/>
          </w:tcPr>
          <w:p w14:paraId="0D4F364F" w14:textId="77777777" w:rsidR="00EE691A" w:rsidRDefault="00000000">
            <w:pPr>
              <w:spacing w:line="288" w:lineRule="auto"/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Udział % </w:t>
            </w:r>
          </w:p>
          <w:p w14:paraId="32E31C90" w14:textId="77777777" w:rsidR="00EE691A" w:rsidRDefault="00000000">
            <w:pPr>
              <w:spacing w:line="288" w:lineRule="auto"/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(masa całk.)</w:t>
            </w:r>
          </w:p>
        </w:tc>
        <w:tc>
          <w:tcPr>
            <w:tcW w:w="1561" w:type="dxa"/>
          </w:tcPr>
          <w:p w14:paraId="4DCB8C11" w14:textId="77777777" w:rsidR="00EE691A" w:rsidRDefault="00000000">
            <w:pPr>
              <w:spacing w:line="288" w:lineRule="auto"/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Nm3 metanu </w:t>
            </w:r>
          </w:p>
          <w:p w14:paraId="14C93428" w14:textId="77777777" w:rsidR="00EE691A" w:rsidRDefault="00000000">
            <w:pPr>
              <w:spacing w:line="288" w:lineRule="auto"/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/ rok</w:t>
            </w:r>
          </w:p>
        </w:tc>
        <w:tc>
          <w:tcPr>
            <w:tcW w:w="1980" w:type="dxa"/>
          </w:tcPr>
          <w:p w14:paraId="05E29D0E" w14:textId="77777777" w:rsidR="00EE691A" w:rsidRDefault="00000000">
            <w:pPr>
              <w:spacing w:line="288" w:lineRule="auto"/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Udział % (metanu / rok)</w:t>
            </w:r>
          </w:p>
        </w:tc>
      </w:tr>
      <w:tr w:rsidR="00EE691A" w14:paraId="24929858" w14:textId="77777777" w:rsidTr="00EE6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30D4B02B" w14:textId="77777777" w:rsidR="00EE691A" w:rsidRDefault="00000000">
            <w:pPr>
              <w:spacing w:line="288" w:lineRule="auto"/>
              <w:ind w:right="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Kiszonka z kukurydzy</w:t>
            </w:r>
          </w:p>
        </w:tc>
        <w:tc>
          <w:tcPr>
            <w:tcW w:w="1321" w:type="dxa"/>
          </w:tcPr>
          <w:p w14:paraId="6A772CB2" w14:textId="014FFEBA" w:rsidR="00EE691A" w:rsidRDefault="00707C35" w:rsidP="0069641B">
            <w:pPr>
              <w:spacing w:line="288" w:lineRule="auto"/>
              <w:ind w:righ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1 500</w:t>
            </w:r>
          </w:p>
        </w:tc>
        <w:tc>
          <w:tcPr>
            <w:tcW w:w="1516" w:type="dxa"/>
          </w:tcPr>
          <w:p w14:paraId="78FAA903" w14:textId="5D340CB1" w:rsidR="00EE691A" w:rsidRDefault="00707C35" w:rsidP="0069641B">
            <w:pPr>
              <w:spacing w:line="288" w:lineRule="auto"/>
              <w:ind w:righ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17,86</w:t>
            </w:r>
            <w:r w:rsidR="00CA40E6">
              <w:rPr>
                <w:rFonts w:ascii="Arial" w:eastAsia="Arial" w:hAnsi="Arial" w:cs="Arial"/>
                <w:color w:val="000000"/>
              </w:rPr>
              <w:t xml:space="preserve"> %</w:t>
            </w:r>
          </w:p>
        </w:tc>
        <w:tc>
          <w:tcPr>
            <w:tcW w:w="1561" w:type="dxa"/>
          </w:tcPr>
          <w:p w14:paraId="4332DE10" w14:textId="2E3902E3" w:rsidR="00EE691A" w:rsidRDefault="00707C35" w:rsidP="0069641B">
            <w:pPr>
              <w:spacing w:line="288" w:lineRule="auto"/>
              <w:ind w:righ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173 430</w:t>
            </w:r>
          </w:p>
        </w:tc>
        <w:tc>
          <w:tcPr>
            <w:tcW w:w="1980" w:type="dxa"/>
          </w:tcPr>
          <w:p w14:paraId="117DDCF7" w14:textId="155A3094" w:rsidR="00EE691A" w:rsidRDefault="00707C35" w:rsidP="0069641B">
            <w:pPr>
              <w:spacing w:line="288" w:lineRule="auto"/>
              <w:ind w:righ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31,05</w:t>
            </w:r>
            <w:r w:rsidR="00CA40E6">
              <w:rPr>
                <w:rFonts w:ascii="Arial" w:eastAsia="Arial" w:hAnsi="Arial" w:cs="Arial"/>
                <w:color w:val="000000"/>
              </w:rPr>
              <w:t xml:space="preserve"> %</w:t>
            </w:r>
          </w:p>
        </w:tc>
      </w:tr>
      <w:tr w:rsidR="00EE691A" w14:paraId="32883207" w14:textId="77777777" w:rsidTr="00EE691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26EB2CAE" w14:textId="461BD211" w:rsidR="00EE691A" w:rsidRDefault="00707C35">
            <w:pPr>
              <w:spacing w:line="288" w:lineRule="auto"/>
              <w:ind w:right="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Obornik kurzy</w:t>
            </w:r>
          </w:p>
        </w:tc>
        <w:tc>
          <w:tcPr>
            <w:tcW w:w="1321" w:type="dxa"/>
          </w:tcPr>
          <w:p w14:paraId="271DD858" w14:textId="121AE96B" w:rsidR="00EE691A" w:rsidRDefault="00707C35" w:rsidP="0069641B">
            <w:pPr>
              <w:spacing w:line="288" w:lineRule="auto"/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5 000</w:t>
            </w:r>
          </w:p>
        </w:tc>
        <w:tc>
          <w:tcPr>
            <w:tcW w:w="1516" w:type="dxa"/>
          </w:tcPr>
          <w:p w14:paraId="3F01663C" w14:textId="2B0A98BA" w:rsidR="00EE691A" w:rsidRDefault="00707C35" w:rsidP="0069641B">
            <w:pPr>
              <w:spacing w:line="288" w:lineRule="auto"/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59,52</w:t>
            </w:r>
            <w:r w:rsidR="00CA40E6">
              <w:rPr>
                <w:rFonts w:ascii="Arial" w:eastAsia="Arial" w:hAnsi="Arial" w:cs="Arial"/>
                <w:color w:val="000000"/>
              </w:rPr>
              <w:t xml:space="preserve"> %</w:t>
            </w:r>
          </w:p>
        </w:tc>
        <w:tc>
          <w:tcPr>
            <w:tcW w:w="1561" w:type="dxa"/>
          </w:tcPr>
          <w:p w14:paraId="33BBE377" w14:textId="169F8FB1" w:rsidR="00EE691A" w:rsidRDefault="00707C35" w:rsidP="0069641B">
            <w:pPr>
              <w:spacing w:line="288" w:lineRule="auto"/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485 000</w:t>
            </w:r>
          </w:p>
        </w:tc>
        <w:tc>
          <w:tcPr>
            <w:tcW w:w="1980" w:type="dxa"/>
          </w:tcPr>
          <w:p w14:paraId="4A1213A3" w14:textId="6E63F732" w:rsidR="00EE691A" w:rsidRDefault="00707C35" w:rsidP="0069641B">
            <w:pPr>
              <w:spacing w:line="288" w:lineRule="auto"/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86,83</w:t>
            </w:r>
            <w:r w:rsidR="00CA40E6">
              <w:rPr>
                <w:rFonts w:ascii="Arial" w:eastAsia="Arial" w:hAnsi="Arial" w:cs="Arial"/>
                <w:color w:val="000000"/>
              </w:rPr>
              <w:t xml:space="preserve"> %</w:t>
            </w:r>
          </w:p>
        </w:tc>
      </w:tr>
      <w:tr w:rsidR="00EE691A" w14:paraId="511CC6CD" w14:textId="77777777" w:rsidTr="00EE6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2DF3F9E8" w14:textId="64CC4DDA" w:rsidR="00CA40E6" w:rsidRDefault="00C224B8">
            <w:pPr>
              <w:spacing w:line="288" w:lineRule="auto"/>
              <w:ind w:right="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Obornik bydlęcy</w:t>
            </w:r>
          </w:p>
        </w:tc>
        <w:tc>
          <w:tcPr>
            <w:tcW w:w="1321" w:type="dxa"/>
          </w:tcPr>
          <w:p w14:paraId="03C6F813" w14:textId="1A361E3F" w:rsidR="00EE691A" w:rsidRDefault="00707C35" w:rsidP="0069641B">
            <w:pPr>
              <w:spacing w:line="288" w:lineRule="auto"/>
              <w:ind w:righ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1 900</w:t>
            </w:r>
          </w:p>
        </w:tc>
        <w:tc>
          <w:tcPr>
            <w:tcW w:w="1516" w:type="dxa"/>
          </w:tcPr>
          <w:p w14:paraId="0327ACA0" w14:textId="37DA92C3" w:rsidR="00EE691A" w:rsidRDefault="00707C35" w:rsidP="0069641B">
            <w:pPr>
              <w:spacing w:line="288" w:lineRule="auto"/>
              <w:ind w:righ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22,62</w:t>
            </w:r>
            <w:r w:rsidR="00CA40E6">
              <w:rPr>
                <w:rFonts w:ascii="Arial" w:eastAsia="Arial" w:hAnsi="Arial" w:cs="Arial"/>
                <w:color w:val="000000"/>
              </w:rPr>
              <w:t xml:space="preserve"> %</w:t>
            </w:r>
          </w:p>
        </w:tc>
        <w:tc>
          <w:tcPr>
            <w:tcW w:w="1561" w:type="dxa"/>
          </w:tcPr>
          <w:p w14:paraId="241620B0" w14:textId="44920941" w:rsidR="00EE691A" w:rsidRDefault="00707C35" w:rsidP="0069641B">
            <w:pPr>
              <w:spacing w:line="288" w:lineRule="auto"/>
              <w:ind w:righ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57 050</w:t>
            </w:r>
          </w:p>
        </w:tc>
        <w:tc>
          <w:tcPr>
            <w:tcW w:w="1980" w:type="dxa"/>
          </w:tcPr>
          <w:p w14:paraId="7FF0BA01" w14:textId="486EAF9F" w:rsidR="00EE691A" w:rsidRDefault="00707C35" w:rsidP="0069641B">
            <w:pPr>
              <w:spacing w:line="288" w:lineRule="auto"/>
              <w:ind w:righ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10,21</w:t>
            </w:r>
            <w:r w:rsidR="00C224B8">
              <w:rPr>
                <w:rFonts w:ascii="Arial" w:eastAsia="Arial" w:hAnsi="Arial" w:cs="Arial"/>
                <w:color w:val="000000"/>
              </w:rPr>
              <w:t xml:space="preserve"> </w:t>
            </w:r>
            <w:r w:rsidR="00CA40E6">
              <w:rPr>
                <w:rFonts w:ascii="Arial" w:eastAsia="Arial" w:hAnsi="Arial" w:cs="Arial"/>
                <w:color w:val="000000"/>
              </w:rPr>
              <w:t>%</w:t>
            </w:r>
          </w:p>
        </w:tc>
      </w:tr>
      <w:tr w:rsidR="00EE691A" w14:paraId="7EB8BEA8" w14:textId="77777777" w:rsidTr="00EE691A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58038BD9" w14:textId="298D776D" w:rsidR="00EE691A" w:rsidRDefault="00000000">
            <w:pPr>
              <w:spacing w:line="288" w:lineRule="auto"/>
              <w:ind w:right="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CA40E6">
              <w:rPr>
                <w:rFonts w:ascii="Arial" w:eastAsia="Arial" w:hAnsi="Arial" w:cs="Arial"/>
              </w:rPr>
              <w:t>RAZEM</w:t>
            </w:r>
          </w:p>
        </w:tc>
        <w:tc>
          <w:tcPr>
            <w:tcW w:w="1321" w:type="dxa"/>
          </w:tcPr>
          <w:p w14:paraId="1B18FAD2" w14:textId="0B886DA7" w:rsidR="00EE691A" w:rsidRDefault="00707C35" w:rsidP="0069641B">
            <w:pPr>
              <w:spacing w:line="288" w:lineRule="auto"/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8 400</w:t>
            </w:r>
          </w:p>
        </w:tc>
        <w:tc>
          <w:tcPr>
            <w:tcW w:w="1516" w:type="dxa"/>
          </w:tcPr>
          <w:p w14:paraId="285B0EDA" w14:textId="57554088" w:rsidR="00EE691A" w:rsidRDefault="00000000" w:rsidP="0069641B">
            <w:pPr>
              <w:spacing w:line="288" w:lineRule="auto"/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  <w:tc>
          <w:tcPr>
            <w:tcW w:w="1561" w:type="dxa"/>
          </w:tcPr>
          <w:p w14:paraId="48557C63" w14:textId="266FFB8D" w:rsidR="00EE691A" w:rsidRDefault="00707C35" w:rsidP="0069641B">
            <w:pPr>
              <w:spacing w:line="288" w:lineRule="auto"/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715 480</w:t>
            </w:r>
          </w:p>
        </w:tc>
        <w:tc>
          <w:tcPr>
            <w:tcW w:w="1980" w:type="dxa"/>
          </w:tcPr>
          <w:p w14:paraId="1291CED7" w14:textId="77777777" w:rsidR="00EE691A" w:rsidRDefault="00000000" w:rsidP="0069641B">
            <w:pPr>
              <w:spacing w:line="288" w:lineRule="auto"/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</w:tr>
    </w:tbl>
    <w:p w14:paraId="107727D9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b/>
          <w:color w:val="000000"/>
        </w:rPr>
      </w:pPr>
    </w:p>
    <w:p w14:paraId="46406A33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  <w:b/>
          <w:color w:val="000000"/>
        </w:rPr>
      </w:pPr>
    </w:p>
    <w:p w14:paraId="30371379" w14:textId="2730F087" w:rsidR="00EE691A" w:rsidRDefault="00000000">
      <w:pPr>
        <w:spacing w:line="288" w:lineRule="auto"/>
        <w:ind w:right="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Specyfikacja szczegółowa znajduje się w Ogłoszeniu oraz jego załącznikach,</w:t>
      </w:r>
      <w:r w:rsidR="0069641B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t>a zwłaszcza w Załączniku nr 3 – Projekt budowlany.</w:t>
      </w:r>
    </w:p>
    <w:p w14:paraId="4BF2E6D7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  <w:b/>
        </w:rPr>
      </w:pPr>
    </w:p>
    <w:p w14:paraId="408EB6CC" w14:textId="77777777" w:rsidR="00EE691A" w:rsidRDefault="00EE691A">
      <w:pPr>
        <w:spacing w:line="288" w:lineRule="auto"/>
        <w:ind w:right="4"/>
        <w:jc w:val="both"/>
        <w:rPr>
          <w:rFonts w:ascii="Arial" w:eastAsia="Arial" w:hAnsi="Arial" w:cs="Arial"/>
          <w:b/>
        </w:rPr>
      </w:pPr>
    </w:p>
    <w:p w14:paraId="3E079124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Dokumentacja: </w:t>
      </w:r>
    </w:p>
    <w:p w14:paraId="4357F489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b/>
          <w:color w:val="000000"/>
        </w:rPr>
      </w:pPr>
    </w:p>
    <w:p w14:paraId="204CF92C" w14:textId="77777777" w:rsidR="00EE6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Projekty techniczne</w:t>
      </w:r>
    </w:p>
    <w:p w14:paraId="43FFD8D0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b/>
          <w:color w:val="000000"/>
        </w:rPr>
      </w:pPr>
    </w:p>
    <w:p w14:paraId="492D7682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Wykonawca w ramach umowy powinien opracować projekty techniczne dla celów realizacji robót (rysunki szczegółowe, rysunki warsztatowe, projekty specjalistyczne, plany i harmonogramy). Projekty techniczne stanowić będą uszczegółowienie projektu budowlanego dla potrzeb wykonawstwa. Dokumentacja powinna być opracowana z uwzględnieniem warunków zatwierdzenia projektu budowlanego oraz warunków zawartych w uzyskanych opiniach i uzgodnieniach, oraz przedłożona Zamawiającemu do zatwierdzenia.</w:t>
      </w:r>
    </w:p>
    <w:p w14:paraId="702835FC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b/>
          <w:color w:val="000000"/>
        </w:rPr>
      </w:pPr>
    </w:p>
    <w:p w14:paraId="51ABFFCE" w14:textId="77777777" w:rsidR="00EE6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Dokumentacja powykonawcza:</w:t>
      </w:r>
    </w:p>
    <w:p w14:paraId="4E815408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b/>
          <w:color w:val="000000"/>
        </w:rPr>
      </w:pPr>
    </w:p>
    <w:p w14:paraId="52819AB6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w ramach umowy powinien opracować w szczególności dokumentację powykonawczą całości wykonanych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color w:val="000000"/>
        </w:rPr>
        <w:t>obót, w tym:</w:t>
      </w:r>
    </w:p>
    <w:p w14:paraId="51190FDC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color w:val="000000"/>
        </w:rPr>
      </w:pPr>
    </w:p>
    <w:p w14:paraId="4982394C" w14:textId="77777777" w:rsidR="00EE691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dokumentację geodezyjną — w szczególności szkice z tyczenia i kontroli położenia poszczególnych elementów i obiektów, analizę geodezyjną powykonawczą i szkice polowe powykonawcze oraz inwentaryzację powykonawczą;</w:t>
      </w:r>
    </w:p>
    <w:p w14:paraId="23DCF24D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b/>
          <w:color w:val="000000"/>
        </w:rPr>
      </w:pPr>
    </w:p>
    <w:p w14:paraId="6E4837B5" w14:textId="77777777" w:rsidR="00EE691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szczegółowe instrukcje eksploatacyjne urządzeń wraz z ich urządzeniami napędowymi i sterowniczymi, szczegółowe instrukcje urządzeń elektroenergetycznych, agregatów kogeneracyjnych, itp. Instrukcje obsługi i konserwacji muszą być na tyle szczegółowe, aby umożliwiały Zamawiającemu obsługę, konserwację, rozbieranie, ponowne składanie, regulacje i naprawy danej części Robót oraz „Szczegółowe Warunki Ochrony Przeciwpożarowej”.</w:t>
      </w:r>
    </w:p>
    <w:p w14:paraId="638DFC62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</w:p>
    <w:p w14:paraId="59182F84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Dokumentacja powykonawcza powinna zawierać wszystkie ewentualne zmiany w stosunku do projektu, wynikłe w trakcie realizacji Robót.</w:t>
      </w:r>
    </w:p>
    <w:p w14:paraId="0FE3B4B8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</w:p>
    <w:p w14:paraId="2D98C18C" w14:textId="77777777" w:rsidR="00EE6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Dokumentacja rozruchowa</w:t>
      </w:r>
    </w:p>
    <w:p w14:paraId="5845F55E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b/>
          <w:color w:val="000000"/>
        </w:rPr>
      </w:pPr>
    </w:p>
    <w:p w14:paraId="0EE30B5E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w ramach umowy powinien opracować dokumentację rozruchową, tj. wszelką dokumentację niezbędną do przeprowadzenia rozruchu oraz powykonawczą potwierdzającą prawidłowość i zgodność z obowiązującymi przepisami wszystkich wykonanych prac i usług, a w tym:</w:t>
      </w:r>
    </w:p>
    <w:p w14:paraId="3737BE0F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4"/>
        <w:jc w:val="both"/>
        <w:rPr>
          <w:rFonts w:ascii="Arial" w:eastAsia="Arial" w:hAnsi="Arial" w:cs="Arial"/>
          <w:color w:val="000000"/>
        </w:rPr>
      </w:pPr>
    </w:p>
    <w:p w14:paraId="70832607" w14:textId="77777777" w:rsidR="00EE69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ogólną instrukcję eksploatacji i konserwacji;</w:t>
      </w:r>
    </w:p>
    <w:p w14:paraId="7256DFEA" w14:textId="77777777" w:rsidR="00EE69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sprawozdanie z rozruchu.</w:t>
      </w:r>
    </w:p>
    <w:p w14:paraId="09D8FA24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line="288" w:lineRule="auto"/>
        <w:ind w:right="4"/>
        <w:jc w:val="both"/>
        <w:rPr>
          <w:rFonts w:ascii="Arial" w:eastAsia="Arial" w:hAnsi="Arial" w:cs="Arial"/>
        </w:rPr>
      </w:pPr>
    </w:p>
    <w:p w14:paraId="6400DA5E" w14:textId="77777777" w:rsidR="00EE6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Dokumenty odbiorowe</w:t>
      </w:r>
    </w:p>
    <w:p w14:paraId="0FC63732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color w:val="000000"/>
        </w:rPr>
      </w:pPr>
    </w:p>
    <w:p w14:paraId="424033FC" w14:textId="77777777" w:rsidR="00EE691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w ramach umowy winien opracować i przygotować kompletną dokumentację odbiorową zgodnie z obowiązującym prawem.</w:t>
      </w:r>
    </w:p>
    <w:p w14:paraId="34171494" w14:textId="77777777" w:rsidR="00EE691A" w:rsidRDefault="00EE691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right="4"/>
        <w:jc w:val="both"/>
        <w:rPr>
          <w:rFonts w:ascii="Arial" w:eastAsia="Arial" w:hAnsi="Arial" w:cs="Arial"/>
        </w:rPr>
      </w:pPr>
    </w:p>
    <w:p w14:paraId="747D36EC" w14:textId="77777777" w:rsidR="00EE691A" w:rsidRDefault="00EE691A">
      <w:pPr>
        <w:widowControl/>
        <w:spacing w:line="288" w:lineRule="auto"/>
        <w:ind w:hanging="2"/>
        <w:jc w:val="both"/>
        <w:rPr>
          <w:rFonts w:ascii="Arial" w:eastAsia="Arial" w:hAnsi="Arial" w:cs="Arial"/>
        </w:rPr>
      </w:pPr>
    </w:p>
    <w:tbl>
      <w:tblPr>
        <w:tblStyle w:val="a9"/>
        <w:tblW w:w="93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51"/>
        <w:gridCol w:w="570"/>
        <w:gridCol w:w="4535"/>
      </w:tblGrid>
      <w:tr w:rsidR="00EE691A" w14:paraId="711949BA" w14:textId="77777777">
        <w:trPr>
          <w:jc w:val="center"/>
        </w:trPr>
        <w:tc>
          <w:tcPr>
            <w:tcW w:w="4251" w:type="dxa"/>
          </w:tcPr>
          <w:p w14:paraId="02B0EEAE" w14:textId="77777777" w:rsidR="00EE691A" w:rsidRDefault="00EE691A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58C12EC0" w14:textId="77777777" w:rsidR="00EE691A" w:rsidRDefault="00EE691A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062B55AC" w14:textId="77777777" w:rsidR="00EE691A" w:rsidRDefault="00EE691A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47824A67" w14:textId="77777777" w:rsidR="00EE691A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…………………., dnia ………………….</w:t>
            </w:r>
          </w:p>
          <w:p w14:paraId="6C6D1D9E" w14:textId="77777777" w:rsidR="00EE691A" w:rsidRDefault="00EE691A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31162C30" w14:textId="77777777" w:rsidR="00EE691A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(miejscowość i data)</w:t>
            </w:r>
          </w:p>
        </w:tc>
        <w:tc>
          <w:tcPr>
            <w:tcW w:w="570" w:type="dxa"/>
          </w:tcPr>
          <w:p w14:paraId="3AA9F598" w14:textId="77777777" w:rsidR="00EE691A" w:rsidRDefault="00EE691A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4535" w:type="dxa"/>
          </w:tcPr>
          <w:p w14:paraId="253F9EFD" w14:textId="77777777" w:rsidR="00EE691A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Pieczęć i podpis:</w:t>
            </w:r>
          </w:p>
          <w:p w14:paraId="14C3106D" w14:textId="77777777" w:rsidR="00EE691A" w:rsidRDefault="00EE691A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1A59E823" w14:textId="77777777" w:rsidR="00EE691A" w:rsidRDefault="00EE691A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062B4595" w14:textId="77777777" w:rsidR="00EE691A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……………………………………..</w:t>
            </w:r>
          </w:p>
          <w:p w14:paraId="451927D1" w14:textId="77777777" w:rsidR="00EE691A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(upoważnionego przedstawiciela lub przedstawicieli Wykonawcy)</w:t>
            </w:r>
          </w:p>
        </w:tc>
      </w:tr>
    </w:tbl>
    <w:p w14:paraId="722E4560" w14:textId="77777777" w:rsidR="00EE691A" w:rsidRDefault="00EE691A">
      <w:pPr>
        <w:widowControl/>
        <w:spacing w:line="288" w:lineRule="auto"/>
        <w:ind w:hanging="2"/>
        <w:jc w:val="both"/>
        <w:rPr>
          <w:rFonts w:ascii="Arial" w:eastAsia="Arial" w:hAnsi="Arial" w:cs="Arial"/>
        </w:rPr>
      </w:pPr>
    </w:p>
    <w:sectPr w:rsidR="00EE691A">
      <w:headerReference w:type="default" r:id="rId8"/>
      <w:footerReference w:type="default" r:id="rId9"/>
      <w:pgSz w:w="11910" w:h="16840"/>
      <w:pgMar w:top="1417" w:right="1417" w:bottom="1417" w:left="1417" w:header="709" w:footer="7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FD34" w14:textId="77777777" w:rsidR="00FF65B3" w:rsidRDefault="00FF65B3">
      <w:r>
        <w:separator/>
      </w:r>
    </w:p>
  </w:endnote>
  <w:endnote w:type="continuationSeparator" w:id="0">
    <w:p w14:paraId="47024659" w14:textId="77777777" w:rsidR="00FF65B3" w:rsidRDefault="00FF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2DC9" w14:textId="77777777" w:rsidR="00EE69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4810482" wp14:editId="5496B01D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22225" cy="22225"/>
              <wp:effectExtent l="0" t="0" r="0" b="0"/>
              <wp:wrapNone/>
              <wp:docPr id="3" name="Łącznik prosty ze strzałk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25959" y="3780000"/>
                        <a:ext cx="584008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22225" cy="222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a"/>
      <w:tblW w:w="935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01"/>
      <w:gridCol w:w="2017"/>
      <w:gridCol w:w="1870"/>
      <w:gridCol w:w="1871"/>
    </w:tblGrid>
    <w:tr w:rsidR="00EE691A" w14:paraId="7283A612" w14:textId="77777777">
      <w:trPr>
        <w:trHeight w:val="321"/>
        <w:jc w:val="center"/>
      </w:trPr>
      <w:tc>
        <w:tcPr>
          <w:tcW w:w="3601" w:type="dxa"/>
          <w:vAlign w:val="center"/>
        </w:tcPr>
        <w:p w14:paraId="38863A42" w14:textId="5A323F65" w:rsidR="00EE691A" w:rsidRDefault="00000000">
          <w:pPr>
            <w:spacing w:before="5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PROCEDURA P-01/25/</w:t>
          </w:r>
          <w:r w:rsidR="00343C02">
            <w:rPr>
              <w:rFonts w:ascii="Arial" w:eastAsia="Arial" w:hAnsi="Arial" w:cs="Arial"/>
              <w:sz w:val="20"/>
              <w:szCs w:val="20"/>
            </w:rPr>
            <w:t>GR</w:t>
          </w:r>
          <w:r w:rsidR="00707C35">
            <w:rPr>
              <w:rFonts w:ascii="Arial" w:eastAsia="Arial" w:hAnsi="Arial" w:cs="Arial"/>
              <w:sz w:val="20"/>
              <w:szCs w:val="20"/>
            </w:rPr>
            <w:t>ZS</w:t>
          </w:r>
        </w:p>
      </w:tc>
      <w:tc>
        <w:tcPr>
          <w:tcW w:w="2017" w:type="dxa"/>
          <w:vAlign w:val="center"/>
        </w:tcPr>
        <w:p w14:paraId="1075BF56" w14:textId="77777777" w:rsidR="00EE691A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Wydanie: 1.0</w:t>
          </w:r>
        </w:p>
      </w:tc>
      <w:tc>
        <w:tcPr>
          <w:tcW w:w="1870" w:type="dxa"/>
          <w:vAlign w:val="center"/>
        </w:tcPr>
        <w:p w14:paraId="1039F30D" w14:textId="77777777" w:rsidR="00EE691A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Zawiera stron: 4</w:t>
          </w:r>
        </w:p>
      </w:tc>
      <w:tc>
        <w:tcPr>
          <w:tcW w:w="1871" w:type="dxa"/>
          <w:vAlign w:val="center"/>
        </w:tcPr>
        <w:p w14:paraId="1A2E0507" w14:textId="77777777" w:rsidR="00EE691A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Strona: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343C02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14:paraId="3F86FA26" w14:textId="77777777" w:rsidR="00EE691A" w:rsidRDefault="00EE69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143F" w14:textId="77777777" w:rsidR="00FF65B3" w:rsidRDefault="00FF65B3">
      <w:r>
        <w:separator/>
      </w:r>
    </w:p>
  </w:footnote>
  <w:footnote w:type="continuationSeparator" w:id="0">
    <w:p w14:paraId="02CB2C4A" w14:textId="77777777" w:rsidR="00FF65B3" w:rsidRDefault="00FF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6FB5" w14:textId="77777777" w:rsidR="00707C35" w:rsidRDefault="00707C35" w:rsidP="00707C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bookmarkStart w:id="0" w:name="_heading=h.tyjcwt" w:colFirst="0" w:colLast="0"/>
    <w:bookmarkEnd w:id="0"/>
    <w:r>
      <w:rPr>
        <w:rFonts w:ascii="Arial" w:eastAsia="Arial" w:hAnsi="Arial" w:cs="Arial"/>
        <w:sz w:val="20"/>
        <w:szCs w:val="20"/>
      </w:rPr>
      <w:t>Inwestycja pt. „Biogazownia rolnicza Zdzisław Serafin miejsc. Hetmanów gm. Przygodzice”</w:t>
    </w:r>
  </w:p>
  <w:p w14:paraId="03AB658C" w14:textId="77777777" w:rsidR="00707C35" w:rsidRDefault="00707C35" w:rsidP="00707C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współfinansowana przez Narodowy Fundusz Ochrony Środowiska i Gospodarki Wodnej</w:t>
    </w:r>
  </w:p>
  <w:p w14:paraId="616369D3" w14:textId="77777777" w:rsidR="00707C35" w:rsidRDefault="00707C35" w:rsidP="00707C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w ramach Programu Priorytetowego: 4.17. Zeroemisyjny system energetyczny Energia dla wsi</w:t>
    </w:r>
  </w:p>
  <w:p w14:paraId="05ECD199" w14:textId="77777777" w:rsidR="00EE691A" w:rsidRDefault="00EE691A" w:rsidP="00343C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  <w:p w14:paraId="69319B51" w14:textId="77777777" w:rsidR="00EE69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D09875B" wp14:editId="519AA38C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22225" cy="22225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25959" y="3780000"/>
                        <a:ext cx="584008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22225" cy="222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F20703B" w14:textId="77777777" w:rsidR="00EE691A" w:rsidRDefault="00EE69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0C55"/>
    <w:multiLevelType w:val="multilevel"/>
    <w:tmpl w:val="A5343C68"/>
    <w:lvl w:ilvl="0">
      <w:start w:val="1"/>
      <w:numFmt w:val="lowerLetter"/>
      <w:lvlText w:val="%1)"/>
      <w:lvlJc w:val="left"/>
      <w:pPr>
        <w:ind w:left="938" w:hanging="348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1658" w:hanging="335"/>
      </w:pPr>
      <w:rPr>
        <w:rFonts w:ascii="Arial" w:eastAsia="Arial" w:hAnsi="Arial" w:cs="Arial"/>
        <w:b w:val="0"/>
        <w:sz w:val="22"/>
        <w:szCs w:val="22"/>
        <w:u w:val="none"/>
      </w:rPr>
    </w:lvl>
    <w:lvl w:ilvl="2">
      <w:numFmt w:val="bullet"/>
      <w:lvlText w:val="•"/>
      <w:lvlJc w:val="left"/>
      <w:pPr>
        <w:ind w:left="1660" w:hanging="336"/>
      </w:pPr>
    </w:lvl>
    <w:lvl w:ilvl="3">
      <w:numFmt w:val="bullet"/>
      <w:lvlText w:val="•"/>
      <w:lvlJc w:val="left"/>
      <w:pPr>
        <w:ind w:left="2678" w:hanging="336"/>
      </w:pPr>
    </w:lvl>
    <w:lvl w:ilvl="4">
      <w:numFmt w:val="bullet"/>
      <w:lvlText w:val="•"/>
      <w:lvlJc w:val="left"/>
      <w:pPr>
        <w:ind w:left="3696" w:hanging="336"/>
      </w:pPr>
    </w:lvl>
    <w:lvl w:ilvl="5">
      <w:numFmt w:val="bullet"/>
      <w:lvlText w:val="•"/>
      <w:lvlJc w:val="left"/>
      <w:pPr>
        <w:ind w:left="4714" w:hanging="336"/>
      </w:pPr>
    </w:lvl>
    <w:lvl w:ilvl="6">
      <w:numFmt w:val="bullet"/>
      <w:lvlText w:val="•"/>
      <w:lvlJc w:val="left"/>
      <w:pPr>
        <w:ind w:left="5733" w:hanging="336"/>
      </w:pPr>
    </w:lvl>
    <w:lvl w:ilvl="7">
      <w:numFmt w:val="bullet"/>
      <w:lvlText w:val="•"/>
      <w:lvlJc w:val="left"/>
      <w:pPr>
        <w:ind w:left="6751" w:hanging="336"/>
      </w:pPr>
    </w:lvl>
    <w:lvl w:ilvl="8">
      <w:numFmt w:val="bullet"/>
      <w:lvlText w:val="•"/>
      <w:lvlJc w:val="left"/>
      <w:pPr>
        <w:ind w:left="7769" w:hanging="336"/>
      </w:pPr>
    </w:lvl>
  </w:abstractNum>
  <w:abstractNum w:abstractNumId="1" w15:restartNumberingAfterBreak="0">
    <w:nsid w:val="42A14E9F"/>
    <w:multiLevelType w:val="multilevel"/>
    <w:tmpl w:val="E14832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371B0"/>
    <w:multiLevelType w:val="multilevel"/>
    <w:tmpl w:val="6CFEA388"/>
    <w:lvl w:ilvl="0">
      <w:start w:val="1"/>
      <w:numFmt w:val="lowerLetter"/>
      <w:lvlText w:val="%1)"/>
      <w:lvlJc w:val="left"/>
      <w:pPr>
        <w:ind w:left="938" w:hanging="348"/>
      </w:pPr>
      <w:rPr>
        <w:rFonts w:ascii="Arial" w:eastAsia="Arial" w:hAnsi="Arial" w:cs="Arial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658" w:hanging="335"/>
      </w:pPr>
      <w:rPr>
        <w:rFonts w:ascii="Arial" w:eastAsia="Arial" w:hAnsi="Arial" w:cs="Arial"/>
        <w:b w:val="0"/>
        <w:sz w:val="22"/>
        <w:szCs w:val="22"/>
      </w:rPr>
    </w:lvl>
    <w:lvl w:ilvl="2">
      <w:numFmt w:val="bullet"/>
      <w:lvlText w:val="•"/>
      <w:lvlJc w:val="left"/>
      <w:pPr>
        <w:ind w:left="1660" w:hanging="336"/>
      </w:pPr>
    </w:lvl>
    <w:lvl w:ilvl="3">
      <w:numFmt w:val="bullet"/>
      <w:lvlText w:val="•"/>
      <w:lvlJc w:val="left"/>
      <w:pPr>
        <w:ind w:left="2678" w:hanging="336"/>
      </w:pPr>
    </w:lvl>
    <w:lvl w:ilvl="4">
      <w:numFmt w:val="bullet"/>
      <w:lvlText w:val="•"/>
      <w:lvlJc w:val="left"/>
      <w:pPr>
        <w:ind w:left="3696" w:hanging="336"/>
      </w:pPr>
    </w:lvl>
    <w:lvl w:ilvl="5">
      <w:numFmt w:val="bullet"/>
      <w:lvlText w:val="•"/>
      <w:lvlJc w:val="left"/>
      <w:pPr>
        <w:ind w:left="4714" w:hanging="336"/>
      </w:pPr>
    </w:lvl>
    <w:lvl w:ilvl="6">
      <w:numFmt w:val="bullet"/>
      <w:lvlText w:val="•"/>
      <w:lvlJc w:val="left"/>
      <w:pPr>
        <w:ind w:left="5733" w:hanging="336"/>
      </w:pPr>
    </w:lvl>
    <w:lvl w:ilvl="7">
      <w:numFmt w:val="bullet"/>
      <w:lvlText w:val="•"/>
      <w:lvlJc w:val="left"/>
      <w:pPr>
        <w:ind w:left="6751" w:hanging="336"/>
      </w:pPr>
    </w:lvl>
    <w:lvl w:ilvl="8">
      <w:numFmt w:val="bullet"/>
      <w:lvlText w:val="•"/>
      <w:lvlJc w:val="left"/>
      <w:pPr>
        <w:ind w:left="7769" w:hanging="336"/>
      </w:pPr>
    </w:lvl>
  </w:abstractNum>
  <w:num w:numId="1" w16cid:durableId="368536553">
    <w:abstractNumId w:val="1"/>
  </w:num>
  <w:num w:numId="2" w16cid:durableId="1874807676">
    <w:abstractNumId w:val="2"/>
  </w:num>
  <w:num w:numId="3" w16cid:durableId="47680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1A"/>
    <w:rsid w:val="000870BB"/>
    <w:rsid w:val="000B6FC7"/>
    <w:rsid w:val="00127F06"/>
    <w:rsid w:val="001814EA"/>
    <w:rsid w:val="001A17A5"/>
    <w:rsid w:val="00343C02"/>
    <w:rsid w:val="005301D4"/>
    <w:rsid w:val="0069641B"/>
    <w:rsid w:val="00707C35"/>
    <w:rsid w:val="00712003"/>
    <w:rsid w:val="0092028F"/>
    <w:rsid w:val="0092231B"/>
    <w:rsid w:val="009F11D4"/>
    <w:rsid w:val="00A07ABF"/>
    <w:rsid w:val="00C224B8"/>
    <w:rsid w:val="00C25626"/>
    <w:rsid w:val="00CA40E6"/>
    <w:rsid w:val="00D56B1B"/>
    <w:rsid w:val="00D83263"/>
    <w:rsid w:val="00EE691A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3AA1"/>
  <w15:docId w15:val="{86CFD0DE-EDBC-F448-9472-80FB00F3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ind w:left="218"/>
      <w:outlineLvl w:val="0"/>
    </w:pPr>
    <w:rPr>
      <w:b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154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461"/>
  </w:style>
  <w:style w:type="paragraph" w:styleId="Stopka">
    <w:name w:val="footer"/>
    <w:basedOn w:val="Normalny"/>
    <w:link w:val="StopkaZnak"/>
    <w:uiPriority w:val="99"/>
    <w:unhideWhenUsed/>
    <w:rsid w:val="008154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461"/>
  </w:style>
  <w:style w:type="table" w:customStyle="1" w:styleId="a6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9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07C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C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C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C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w5AgTYkPxPyKBPeqURbOcMveg==">CgMxLjAyCGgudHlqY3d0OAByITFOS19pZl8xOXZxeHNBOFd6OFMtWWp5ckVnQ0NLUFFPRA==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Radosław Kuś</cp:lastModifiedBy>
  <cp:revision>9</cp:revision>
  <dcterms:created xsi:type="dcterms:W3CDTF">2025-06-10T14:58:00Z</dcterms:created>
  <dcterms:modified xsi:type="dcterms:W3CDTF">2026-02-05T08:18:00Z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2023-03-08T00:00:00Z</vt:lpwstr>
  </property>
  <property fmtid="{D5CDD505-2E9C-101B-9397-08002B2CF9AE}" pid="3" name="Creator">
    <vt:lpwstr>Microsoft® Word 2016</vt:lpwstr>
  </property>
  <property fmtid="{D5CDD505-2E9C-101B-9397-08002B2CF9AE}" pid="4" name="Created">
    <vt:lpwstr>2021-06-05T00:00:00Z</vt:lpwstr>
  </property>
</Properties>
</file>